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69BC" w14:textId="4D56DCF5" w:rsidR="0085078A" w:rsidRPr="0085078A" w:rsidRDefault="0085078A" w:rsidP="008507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</w:pPr>
      <w:r w:rsidRPr="0085078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 xml:space="preserve">Postup pri prijímaní a zamestnávaní </w:t>
      </w:r>
      <w:r w:rsidR="00194B8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 xml:space="preserve">zahraničných </w:t>
      </w:r>
      <w:r w:rsidRPr="0085078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výskumníkov</w:t>
      </w:r>
    </w:p>
    <w:p w14:paraId="2B99CFD8" w14:textId="30985495" w:rsidR="000477C5" w:rsidRPr="005E0CB2" w:rsidRDefault="003259E9" w:rsidP="005E0CB2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 xml:space="preserve">V prípade 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>prijíman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>ia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 xml:space="preserve"> a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> 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>zamestnávan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>ia zahraničných výskumníkov z tretích krajín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musí mať</w:t>
      </w:r>
      <w:r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5E0CB2"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Ú</w:t>
      </w:r>
      <w:r w:rsidR="000477C5"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stav </w:t>
      </w:r>
      <w:r w:rsidR="005E0CB2"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SAV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5E0CB2"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 xml:space="preserve">povolenie </w:t>
      </w:r>
      <w:r w:rsidR="000477C5" w:rsidRPr="003259E9">
        <w:rPr>
          <w:rFonts w:ascii="Segoe UI" w:eastAsia="Times New Roman" w:hAnsi="Segoe UI" w:cs="Segoe UI"/>
          <w:b/>
          <w:bCs/>
          <w:color w:val="000000"/>
          <w:sz w:val="21"/>
          <w:szCs w:val="21"/>
          <w:highlight w:val="yellow"/>
          <w:lang w:eastAsia="sk-SK"/>
        </w:rPr>
        <w:t>na prijímanie cudzincov z tretích krajín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na výskum a vývoj, tak </w:t>
      </w:r>
      <w:r w:rsid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je možné s  výskumníkmi 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podpísať </w:t>
      </w:r>
      <w:r w:rsidR="000477C5"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Dohodu o hosťovaní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 Na DoH musí byť pečiatka ústavu a podpisy oboch </w:t>
      </w:r>
      <w:r w:rsidR="000477C5" w:rsidRPr="005E0CB2">
        <w:rPr>
          <w:rFonts w:ascii="Segoe UI" w:eastAsia="Times New Roman" w:hAnsi="Segoe UI" w:cs="Segoe UI"/>
          <w:color w:val="005A95"/>
          <w:sz w:val="21"/>
          <w:szCs w:val="21"/>
          <w:lang w:eastAsia="sk-SK"/>
        </w:rPr>
        <w:t>str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án, pri podávaní žiadosti o prechodný pobyt na Cudzineckej polícii (CP) nesmie byť staršia ako 90 dní od vystavenia.</w:t>
      </w:r>
    </w:p>
    <w:p w14:paraId="46C765B0" w14:textId="78003AB5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Poznámka: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DoH nenahrádza pracovnú zmluvu, slúži len ako dokument pre CP ako doklad preukazujúci účel pobytu a finančné zabezpečenie pobytu. Je potrebné s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 výskumníkmi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podpísať pracovnú zmluvu atď.</w:t>
      </w:r>
    </w:p>
    <w:p w14:paraId="32A98CF0" w14:textId="7A458F1B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Po</w:t>
      </w:r>
      <w:r w:rsid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vstupe</w:t>
      </w:r>
      <w:r w:rsidR="005E0CB2"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výskumníkov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do SR je nutné splniť ohlasovaciu povinnosť voči CP = poslať na príslušné oddelenie CP do 3 pracovných dní od vstupu do SR vyplnené tlačivo – nájdete tu:</w:t>
      </w:r>
      <w:r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  <w:hyperlink r:id="rId5" w:tgtFrame="_blank" w:history="1">
        <w:r w:rsidRPr="005E0CB2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u w:val="single"/>
            <w:lang w:eastAsia="sk-SK"/>
          </w:rPr>
          <w:t>https://www.minv.sk/?hlasenie-pobytu-1</w:t>
        </w:r>
      </w:hyperlink>
    </w:p>
    <w:p w14:paraId="1F879708" w14:textId="70F2A92B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Poznámka: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Ak bud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ú výskumníci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ubytovan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í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v ubytovni/internáte SAV, príp. penzióne, hoteli a pod., tak ubytovacie zariadenie urobí túto povinnosť za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nich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 Ak m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ajú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individuálne bývanie, tak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tlačivo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mus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ia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poslať sam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</w:t>
      </w:r>
    </w:p>
    <w:p w14:paraId="76E06DA3" w14:textId="598FF472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Zamestnať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je možné výskumníkov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prakticky ihneď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po príchode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 SR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,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ak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bud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ú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mať podpísanú DoH (a pracovnú zmluvu), nie je potrebné čakať až kým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im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bude udelený prechodný pobyt. Je však nutné, aby si žiadosť o PP podal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do 90 dní od vstupu do SR – ideálne ísť na CP čím skôr po príchode do SR, ak sú voľné termíny a komplet všetky dokumenty</w:t>
      </w:r>
    </w:p>
    <w:p w14:paraId="0140A5EA" w14:textId="77777777" w:rsidR="005E0CB2" w:rsidRPr="005E0CB2" w:rsidRDefault="005E0CB2" w:rsidP="00AC5B3A">
      <w:pPr>
        <w:pStyle w:val="Odsekzoznamu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</w:p>
    <w:p w14:paraId="3DA35CE6" w14:textId="76F1C813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Ohlasovacia povinnosť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zamestnávateľa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voči Úradu práce, sociálnych vecí a rodiny:</w:t>
      </w:r>
    </w:p>
    <w:p w14:paraId="3F2FAB90" w14:textId="6F0F0F95" w:rsidR="000477C5" w:rsidRPr="000477C5" w:rsidRDefault="000477C5" w:rsidP="003259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Keď ústav</w:t>
      </w:r>
      <w:r w:rsid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SAV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podpíše pracovnú zmluvu s výskumníkom, má povinnosť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 7 dní to hlásiť na ÚPSVaR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– všetky informácie tu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: </w:t>
      </w:r>
      <w:hyperlink r:id="rId6" w:tgtFrame="_blank" w:history="1">
        <w:r w:rsidRPr="000477C5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u w:val="single"/>
            <w:lang w:eastAsia="sk-SK"/>
          </w:rPr>
          <w:t>https://www.upsvr.gov.sk/buxus/generate_page.php?page_id=363584</w:t>
        </w:r>
      </w:hyperlink>
    </w:p>
    <w:p w14:paraId="235F4651" w14:textId="4A1653A9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na podanie žiadosti o PP sa treba na CP objednať cez online rezervačný systém – viď: </w:t>
      </w:r>
      <w:hyperlink r:id="rId7" w:tgtFrame="_blank" w:history="1">
        <w:r w:rsidRPr="005E0CB2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u w:val="single"/>
            <w:lang w:eastAsia="sk-SK"/>
          </w:rPr>
          <w:t>https://www.minv.sk/?objednavaci-system-na-ocp</w:t>
        </w:r>
      </w:hyperlink>
    </w:p>
    <w:p w14:paraId="1348C721" w14:textId="2AE34660" w:rsidR="003259E9" w:rsidRDefault="003259E9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alebo o expresný termín je možné požiadať cez online formulár určený pre výskumníkov a študentov  </w:t>
      </w:r>
      <w:hyperlink r:id="rId8" w:history="1">
        <w:r w:rsidRPr="00B411A2">
          <w:rPr>
            <w:rStyle w:val="Hypertextovprepojenie"/>
            <w:rFonts w:ascii="Segoe UI" w:eastAsia="Times New Roman" w:hAnsi="Segoe UI" w:cs="Segoe UI"/>
            <w:sz w:val="21"/>
            <w:szCs w:val="21"/>
            <w:lang w:eastAsia="sk-SK"/>
          </w:rPr>
          <w:t>https://www.minv.sk/?stipendisti-vlady-sr-studenti-programov-erasmus-a-erasmus-studenti-doktorandskeho-studia-a-lektori-posobiaci-na-vs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</w:p>
    <w:p w14:paraId="7C3E0383" w14:textId="29E00C68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Poznámka: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CP má na rozhodnutie od prijatia kompletnej žiadosti 30 dní na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rozhodnutie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o udelení pobytu a následne vyhotovia pobytovú kartičku (čo môže byť v rámci ďalších 30 dní alebo za 3 dni od rozhodnutia – podľa toho, čo si vyberie. Štandard je za 4,50€, zrýchlené vydanie karty je za 24,50€)</w:t>
      </w:r>
    </w:p>
    <w:p w14:paraId="34F65334" w14:textId="6CCA1073" w:rsidR="000477C5" w:rsidRPr="007A5938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Potom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,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ako 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výskumníci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obdrž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ia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pobytovú kartu (=keď 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im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kuriér doručí kartu po udelení prechodného pobytu) – výskumní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ci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m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ajú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povinnosť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dokladovať na CP, že m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ajú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zdravotné poistene na území SR </w:t>
      </w:r>
      <w:r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(napr. kó</w:t>
      </w:r>
      <w:r w:rsidRPr="007A5938">
        <w:rPr>
          <w:rFonts w:ascii="Segoe UI" w:eastAsia="Times New Roman" w:hAnsi="Segoe UI" w:cs="Segoe UI"/>
          <w:color w:val="005A95"/>
          <w:sz w:val="21"/>
          <w:szCs w:val="21"/>
          <w:lang w:eastAsia="sk-SK"/>
        </w:rPr>
        <w:t>pia</w:t>
      </w:r>
      <w:r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oboch </w:t>
      </w:r>
      <w:r w:rsidRPr="007A5938">
        <w:rPr>
          <w:rFonts w:ascii="Segoe UI" w:eastAsia="Times New Roman" w:hAnsi="Segoe UI" w:cs="Segoe UI"/>
          <w:color w:val="005A95"/>
          <w:sz w:val="21"/>
          <w:szCs w:val="21"/>
          <w:lang w:eastAsia="sk-SK"/>
        </w:rPr>
        <w:t>str</w:t>
      </w:r>
      <w:r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án kartičky zdravotného poistenia)</w:t>
      </w:r>
      <w:r w:rsidR="005E0CB2"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a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dokladovať na CP, že netrp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ia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infekčným ochorením ohrozujúcim verejné zdravie</w:t>
      </w:r>
    </w:p>
    <w:p w14:paraId="68E2C9DB" w14:textId="4E7B0148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lastRenderedPageBreak/>
        <w:t xml:space="preserve">Poznámka: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oba dokumenty stačí poslať poštou na príslušné oddelenie CP</w:t>
      </w:r>
    </w:p>
    <w:p w14:paraId="66D01128" w14:textId="77777777" w:rsidR="00623EA1" w:rsidRDefault="00623EA1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</w:p>
    <w:p w14:paraId="02F43A6F" w14:textId="6C07157B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DOKLAD O ZDRAVOTNOM STAVE</w:t>
      </w:r>
    </w:p>
    <w:p w14:paraId="6E72792E" w14:textId="77777777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Lekársky posudok potvrdzujúci, že cudzinec netrpí chorobou ohrozujúcou verejné zdravie sa predkladá najneskôr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 30 dní 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od prevzatia dokladu o pobyte. Lehotu na predloženie lekárskeho posudku môže polícia na žiadosť cudzinca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predĺžiť o 60 dní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 Lekársky posudok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nesmie byť starší ako 30 dní. Nepredkladá ho cudzinec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s prechodným pobytom na účel plnenia služobných povinností civilnými zložkami ozbrojených síl, cudzinec s povolením na prechodný pobyt ako osoba s priznaným postavením Slováka žijúceho v zahraničí, cudzinec s povolením na prechodný pobyt z dôvodu priznaného postavenia osoby s dlhodobým pobytom v inom členskom štáte, cudzinec, ktorý má udelený pobyt v inom členskom štáte, alebo pri zmene druhu alebo účelu pobytu. Tento doklad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 môže byť vydaný len niektorým z nasledujúcich zdravotníckych zariadení:</w:t>
      </w:r>
    </w:p>
    <w:p w14:paraId="389FD725" w14:textId="77777777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Bratislavský samosprávny kraj</w:t>
      </w:r>
    </w:p>
    <w:p w14:paraId="670D738A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Poliklinika cudzokrajných chorôb, ZAMA s.r.o., Americké námestie 3, Bratislava, Tel: </w:t>
      </w:r>
      <w:hyperlink r:id="rId9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+421 2 52925688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 Fax: </w:t>
      </w:r>
      <w:hyperlink r:id="rId10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+421 2 5296273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1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info@cudzokrajne.sk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</w:p>
    <w:p w14:paraId="0A1671D1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Inštitút očkovania a cestovnej medicíny s.r.o., Teslova 33, Bratislava, Tel: </w:t>
      </w:r>
      <w:hyperlink r:id="rId12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+421 2 44635473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 Mobil: </w:t>
      </w:r>
      <w:hyperlink r:id="rId13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+421 915 889054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4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bakos@inocem.sk</w:t>
        </w:r>
      </w:hyperlink>
    </w:p>
    <w:p w14:paraId="1A191BFF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Medicínske zariadenie Mlynská Dolina s.r.o., Staré Grunty 56, 841 04 Bratislava, Tel: </w:t>
      </w:r>
      <w:hyperlink r:id="rId15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+421 2 32313025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6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+421 911392220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7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recepcia@klinikamd.sk</w:t>
        </w:r>
      </w:hyperlink>
    </w:p>
    <w:p w14:paraId="5053BA89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Travel Health Clinic s.r.o., Tehelná 26, 831 03 Bratislava, Tel: </w:t>
      </w:r>
      <w:hyperlink r:id="rId18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+421 905742898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9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info@thclinic.sk</w:t>
        </w:r>
      </w:hyperlink>
    </w:p>
    <w:p w14:paraId="4C391662" w14:textId="5E9DCFFF" w:rsidR="000477C5" w:rsidRPr="007A5938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Info</w:t>
      </w:r>
      <w:r w:rsid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rmácie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k zdravotnému a Sociálnemu poisteniu</w:t>
      </w:r>
    </w:p>
    <w:p w14:paraId="7508AEC0" w14:textId="3A2A9F98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Keďže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budú výskumníci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riadnym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zamestnanc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ami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u zamestnávateľa so sídlom v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SR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a predpokladáme, že budú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mať vyššiu mesačnú mzdu než je t.č. minimálna mzda v SR, tak automaticky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budú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spadať do systému verejného zdravotného poistenia.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Za výskumníkov b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ude potrebné odvádzať odvody do Sociálnej a zdravotnej poisťovne. </w:t>
      </w:r>
    </w:p>
    <w:p w14:paraId="6924F91A" w14:textId="4BAF5BA1" w:rsidR="000477C5" w:rsidRPr="000477C5" w:rsidRDefault="007A5938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ostup prihlasovania do zdravotnej a </w:t>
      </w:r>
      <w:r w:rsidR="00AC5B3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s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ociálnej poisťovne </w:t>
      </w:r>
    </w:p>
    <w:p w14:paraId="4A75564D" w14:textId="252713B9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Je potrebné, aby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výskumníci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osobne i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šli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do niektorej zo zdravotných poisťovní podať prihlášku na zdravotn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é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poistenie sa (potrebuj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pas a kópiu pracovnej zmluvy).</w:t>
      </w:r>
    </w:p>
    <w:p w14:paraId="127CAB7B" w14:textId="215B1086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Následne</w:t>
      </w:r>
      <w:r w:rsidR="00AC5B3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keď je prihláška preverená a posúdená (cca 3 dni), je pridelené bezvýznamové identifikačné číslo – do doby kým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nebude udelené kvázi SK rodné číslo = prechodný pobyt (kartička z Cudzineckej polície). K jej BIČ bude zamestnávateľ odvádzať zdravotné odvody a keď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bude udelený PP (slovenská pobytová kartička), tak potom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kvázi SK rodné číslo treba nahlásiť do príslušnej zdravotnej poisťovne, aby to spárovali.</w:t>
      </w:r>
    </w:p>
    <w:p w14:paraId="53CB498D" w14:textId="25E4620B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Podobne to funguje aj v Sociálnej poisťovni – tam netreba, aby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oni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chodil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osobne, tam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ich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prihlási zamestnávateľ – pridelia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dočasné identifikačné číslo, kým nebud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mať SK rodné číslo (pobytovú kartu).</w:t>
      </w:r>
    </w:p>
    <w:sectPr w:rsidR="000477C5" w:rsidRPr="0004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61"/>
    <w:multiLevelType w:val="multilevel"/>
    <w:tmpl w:val="642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50CBB"/>
    <w:multiLevelType w:val="multilevel"/>
    <w:tmpl w:val="4386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5660D"/>
    <w:multiLevelType w:val="hybridMultilevel"/>
    <w:tmpl w:val="D284BDCA"/>
    <w:lvl w:ilvl="0" w:tplc="3C701A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05A7"/>
    <w:multiLevelType w:val="multilevel"/>
    <w:tmpl w:val="0582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2F"/>
    <w:rsid w:val="000477C5"/>
    <w:rsid w:val="00186298"/>
    <w:rsid w:val="00194B86"/>
    <w:rsid w:val="001C6B49"/>
    <w:rsid w:val="002101AB"/>
    <w:rsid w:val="003259E9"/>
    <w:rsid w:val="003E2CD0"/>
    <w:rsid w:val="0054762F"/>
    <w:rsid w:val="005E0CB2"/>
    <w:rsid w:val="00623EA1"/>
    <w:rsid w:val="007A5938"/>
    <w:rsid w:val="0085078A"/>
    <w:rsid w:val="00AC5B3A"/>
    <w:rsid w:val="00E564FC"/>
    <w:rsid w:val="00E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715F"/>
  <w15:chartTrackingRefBased/>
  <w15:docId w15:val="{41B94BAD-1D5D-4B53-8002-FAB21FB3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0477C5"/>
  </w:style>
  <w:style w:type="character" w:styleId="Hypertextovprepojenie">
    <w:name w:val="Hyperlink"/>
    <w:basedOn w:val="Predvolenpsmoodseku"/>
    <w:uiPriority w:val="99"/>
    <w:unhideWhenUsed/>
    <w:rsid w:val="000477C5"/>
    <w:rPr>
      <w:color w:val="0000FF"/>
      <w:u w:val="single"/>
    </w:rPr>
  </w:style>
  <w:style w:type="paragraph" w:customStyle="1" w:styleId="m5025177623763734095msolistparagraph">
    <w:name w:val="m_5025177623763734095msolistparagraph"/>
    <w:basedOn w:val="Normlny"/>
    <w:rsid w:val="0004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0CB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2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stipendisti-vlady-sr-studenti-programov-erasmus-a-erasmus-studenti-doktorandskeho-studia-a-lektori-posobiaci-na-vs" TargetMode="External"/><Relationship Id="rId13" Type="http://schemas.openxmlformats.org/officeDocument/2006/relationships/hyperlink" Target="callto:+421%20915%20889054" TargetMode="External"/><Relationship Id="rId18" Type="http://schemas.openxmlformats.org/officeDocument/2006/relationships/hyperlink" Target="callto:+421%2090574289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inv.sk/?objednavaci-system-na-ocp" TargetMode="External"/><Relationship Id="rId12" Type="http://schemas.openxmlformats.org/officeDocument/2006/relationships/hyperlink" Target="callto:+421%202%2044635473" TargetMode="External"/><Relationship Id="rId17" Type="http://schemas.openxmlformats.org/officeDocument/2006/relationships/hyperlink" Target="mailto:recepcia@klinikamd.sk" TargetMode="External"/><Relationship Id="rId2" Type="http://schemas.openxmlformats.org/officeDocument/2006/relationships/styles" Target="styles.xml"/><Relationship Id="rId16" Type="http://schemas.openxmlformats.org/officeDocument/2006/relationships/hyperlink" Target="callto:+421%209113922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buxus/generate_page.php?page_id=363584" TargetMode="External"/><Relationship Id="rId11" Type="http://schemas.openxmlformats.org/officeDocument/2006/relationships/hyperlink" Target="mailto:info@cudzokrajne.sk" TargetMode="External"/><Relationship Id="rId5" Type="http://schemas.openxmlformats.org/officeDocument/2006/relationships/hyperlink" Target="https://www.minv.sk/?hlasenie-pobytu-1" TargetMode="External"/><Relationship Id="rId15" Type="http://schemas.openxmlformats.org/officeDocument/2006/relationships/hyperlink" Target="callto:+421%202%2032313025" TargetMode="External"/><Relationship Id="rId10" Type="http://schemas.openxmlformats.org/officeDocument/2006/relationships/hyperlink" Target="callto:+421%202%205296273" TargetMode="External"/><Relationship Id="rId19" Type="http://schemas.openxmlformats.org/officeDocument/2006/relationships/hyperlink" Target="mailto:info@thclini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421%202%2052925688" TargetMode="External"/><Relationship Id="rId14" Type="http://schemas.openxmlformats.org/officeDocument/2006/relationships/hyperlink" Target="mailto:bakos@inoce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Muranova</dc:creator>
  <cp:keywords/>
  <dc:description/>
  <cp:lastModifiedBy>Muranova</cp:lastModifiedBy>
  <cp:revision>5</cp:revision>
  <dcterms:created xsi:type="dcterms:W3CDTF">2023-08-24T09:50:00Z</dcterms:created>
  <dcterms:modified xsi:type="dcterms:W3CDTF">2023-08-24T10:10:00Z</dcterms:modified>
</cp:coreProperties>
</file>