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69BC" w14:textId="62463E6B" w:rsidR="0085078A" w:rsidRPr="0085078A" w:rsidRDefault="0085078A" w:rsidP="008507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</w:pPr>
      <w:r w:rsidRPr="0085078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sk-SK"/>
        </w:rPr>
        <w:t>Postup pri prijímaní a zamestnávaní ukrajinských výskumníkov</w:t>
      </w:r>
    </w:p>
    <w:p w14:paraId="3628B04E" w14:textId="72078AAF" w:rsidR="000477C5" w:rsidRDefault="0085078A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1D1D2F"/>
          <w:spacing w:val="-5"/>
        </w:rPr>
      </w:pPr>
      <w:r w:rsidRPr="0085078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Pozor!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Na územie SR môžu</w:t>
      </w:r>
      <w:r w:rsid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v súčasnosti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vstupovať len ukrajinskí rezidenti ženského pohlavia a ostatní (deti, seniori), ktorých sa netýka povinnosť zúčastniť sa na obrane krajiny (</w:t>
      </w:r>
      <w:r w:rsidR="000477C5" w:rsidRPr="0085078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muži vo veku </w:t>
      </w:r>
      <w:r w:rsidR="000477C5" w:rsidRPr="0085078A">
        <w:rPr>
          <w:rFonts w:ascii="Segoe UI" w:hAnsi="Segoe UI" w:cs="Segoe UI"/>
          <w:b/>
          <w:bCs/>
          <w:color w:val="1D1D2F"/>
          <w:spacing w:val="-5"/>
        </w:rPr>
        <w:t xml:space="preserve">18 </w:t>
      </w:r>
      <w:r w:rsidR="000477C5" w:rsidRPr="0085078A">
        <w:rPr>
          <w:rFonts w:ascii="Segoe UI" w:hAnsi="Segoe UI" w:cs="Segoe UI"/>
          <w:b/>
          <w:bCs/>
          <w:color w:val="1D1D2F"/>
          <w:spacing w:val="-5"/>
        </w:rPr>
        <w:t>-</w:t>
      </w:r>
      <w:r w:rsidR="000477C5" w:rsidRPr="0085078A">
        <w:rPr>
          <w:rFonts w:ascii="Segoe UI" w:hAnsi="Segoe UI" w:cs="Segoe UI"/>
          <w:b/>
          <w:bCs/>
          <w:color w:val="1D1D2F"/>
          <w:spacing w:val="-5"/>
        </w:rPr>
        <w:t xml:space="preserve"> 60 rokov majú v súčasnosti zakázané opustiť krajinu</w:t>
      </w:r>
      <w:r w:rsidR="000477C5" w:rsidRPr="000477C5">
        <w:rPr>
          <w:rFonts w:ascii="Segoe UI" w:hAnsi="Segoe UI" w:cs="Segoe UI"/>
          <w:color w:val="1D1D2F"/>
          <w:spacing w:val="-5"/>
        </w:rPr>
        <w:t>)</w:t>
      </w:r>
      <w:r w:rsidR="000477C5">
        <w:rPr>
          <w:rFonts w:ascii="Segoe UI" w:hAnsi="Segoe UI" w:cs="Segoe UI"/>
          <w:color w:val="1D1D2F"/>
          <w:spacing w:val="-5"/>
        </w:rPr>
        <w:t xml:space="preserve">. </w:t>
      </w:r>
      <w:r w:rsidR="000477C5" w:rsidRPr="000477C5">
        <w:rPr>
          <w:rFonts w:ascii="Segoe UI" w:hAnsi="Segoe UI" w:cs="Segoe UI"/>
          <w:color w:val="1D1D2F"/>
          <w:spacing w:val="-5"/>
        </w:rPr>
        <w:t xml:space="preserve"> </w:t>
      </w:r>
    </w:p>
    <w:p w14:paraId="739FCAB8" w14:textId="25585B79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Do SR 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ajú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ukrajinskí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="007A5938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rezidenti ženského pohlavia a ostatní (seniori)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umožnený vstup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s biometrickým pasom 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alebo akýmkoľvek dokladom preukazujúcim totožnosť. Ak vstupujú na územie SR s biometrickým pasom, môžu n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ásledne rovno požiadať na CP o prechodný pobyt na výskum a vývoj (s požadovanými dokumentami).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Nie je potrebné žiadať o dočasné útočisko.</w:t>
      </w:r>
    </w:p>
    <w:p w14:paraId="2B99CFD8" w14:textId="00311AC4" w:rsidR="000477C5" w:rsidRPr="005E0CB2" w:rsidRDefault="005E0CB2" w:rsidP="005E0CB2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Ú</w:t>
      </w:r>
      <w:r w:rsidR="000477C5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stav 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SAV musí mať povolenie </w:t>
      </w:r>
      <w:r w:rsidR="000477C5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na prijímanie cudzincov z tretích krajín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na výskum a vývoj, tak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je možné s ukrajinskými výskumníkmi 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podpísať </w:t>
      </w:r>
      <w:r w:rsidR="000477C5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Dohodu o hosťovaní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Na DoH musí byť pečiatka ústavu a podpisy oboch </w:t>
      </w:r>
      <w:r w:rsidR="000477C5" w:rsidRPr="005E0CB2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str</w:t>
      </w:r>
      <w:r w:rsidR="000477C5"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án, pri podávaní žiadosti o prechodný pobyt na Cudzineckej polícii (CP) nesmie byť staršia ako 90 dní od vystavenia.</w:t>
      </w:r>
    </w:p>
    <w:p w14:paraId="46C765B0" w14:textId="78003AB5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DoH nenahrádza pracovnú zmluvu, slúži len ako dokument pre CP ako doklad preukazujúci účel pobytu a finančné zabezpečenie pobytu. Je potrebné s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 výskumníkmi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podpísať pracovnú zmluvu atď.</w:t>
      </w:r>
    </w:p>
    <w:p w14:paraId="32A98CF0" w14:textId="3B883E69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Po</w:t>
      </w:r>
      <w:r w:rsid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vstupe</w:t>
      </w:r>
      <w:r w:rsidR="005E0CB2"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ukrajinských výskumníkov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do SR je nutné splniť ohlasovaciu povinnosť voči CP = poslať na príslušné oddelenie CP do 3 pracovných dní od vstupu do SR vyplnené tlačivo – nájdete tu:</w:t>
      </w:r>
      <w:r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  <w:hyperlink r:id="rId5" w:tgtFrame="_blank" w:history="1">
        <w:r w:rsidRPr="005E0CB2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https://www.minv.sk/?hlasenie-pobytu-1</w:t>
        </w:r>
      </w:hyperlink>
    </w:p>
    <w:p w14:paraId="1F879708" w14:textId="70F2A92B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Ak bud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 výskumníci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ubytovan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í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v ubytovni/internáte SAV, príp. penzióne, hoteli a pod., tak ubytovacie zariadenie urobí túto povinnosť za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nich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Ak m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ajú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individuálne bývanie, tak 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tlačivo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mus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ia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poslať sam</w:t>
      </w: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</w:t>
      </w:r>
    </w:p>
    <w:p w14:paraId="76E06DA3" w14:textId="2E86B7A9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Zamestnať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je možné ukrajinských výskumníkov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prakticky ihneď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po príchode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SR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,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ak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bud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ú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mať podpísanú DoH (a pracovnú zmluvu), nie je potrebné čakať až kým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im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bude udelený prechodný pobyt. Je však nutné, aby si žiadosť o PP podal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do 90 dní od vstupu do SR – ideálne ísť na CP čím skôr po príchode do SR, ak sú voľné termíny a komplet všetky dokumenty</w:t>
      </w:r>
    </w:p>
    <w:p w14:paraId="0140A5EA" w14:textId="77777777" w:rsidR="005E0CB2" w:rsidRPr="005E0CB2" w:rsidRDefault="005E0CB2" w:rsidP="00AC5B3A">
      <w:pPr>
        <w:pStyle w:val="Odsekzoznamu"/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14:paraId="3DA35CE6" w14:textId="76F1C813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Ohlasovacia povinnosť </w:t>
      </w:r>
      <w:r w:rsid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zamestnávateľa </w:t>
      </w: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voči Úradu práce, sociálnych vecí a rodiny:</w:t>
      </w:r>
    </w:p>
    <w:p w14:paraId="3F2FAB90" w14:textId="6F0F0F95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Keď ústav</w:t>
      </w:r>
      <w:r w:rsid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SAV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podpíše pracovnú zmluvu s výskumníkom, má povinnosť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7 dní to hlásiť na ÚPSVaR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– všetky informácie tu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: </w:t>
      </w:r>
      <w:hyperlink r:id="rId6" w:tgtFrame="_blank" w:history="1">
        <w:r w:rsidRPr="000477C5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https://www.upsvr.gov.sk/buxus/generate_page.php?page_id=363584</w:t>
        </w:r>
      </w:hyperlink>
    </w:p>
    <w:p w14:paraId="235F4651" w14:textId="4A1653A9" w:rsidR="000477C5" w:rsidRPr="005E0CB2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na podanie žiadosti o PP sa treba na CP objednať cez online rezervačný systém – viď: </w:t>
      </w:r>
      <w:hyperlink r:id="rId7" w:tgtFrame="_blank" w:history="1">
        <w:r w:rsidRPr="005E0CB2">
          <w:rPr>
            <w:rFonts w:ascii="Segoe UI" w:eastAsia="Times New Roman" w:hAnsi="Segoe UI" w:cs="Segoe UI"/>
            <w:b/>
            <w:bCs/>
            <w:color w:val="005A95"/>
            <w:sz w:val="21"/>
            <w:szCs w:val="21"/>
            <w:u w:val="single"/>
            <w:lang w:eastAsia="sk-SK"/>
          </w:rPr>
          <w:t>https://www.minv.sk/?objednavaci-system-na-ocp</w:t>
        </w:r>
      </w:hyperlink>
    </w:p>
    <w:p w14:paraId="7C3E0383" w14:textId="49DD9AAA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5E0CB2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Poznámka: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CP má na rozhodnutie od prijatia kompletnej žiadosti 30 dní na</w:t>
      </w:r>
      <w:r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rozhodnutie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o udelení pobytu a následne vyhotovia pobytovú kartičku (čo môže byť v rámci ďalších 30 dní alebo za 3 dni od rozhodnutia – podľa toho, čo si vyberie. Štandard je za 4,50€, zrýchlené vydanie karty je za 24,50€)</w:t>
      </w:r>
    </w:p>
    <w:p w14:paraId="34F65334" w14:textId="6CCA1073" w:rsidR="000477C5" w:rsidRPr="007A5938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lastRenderedPageBreak/>
        <w:t>Potom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,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ako 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výskumníci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obdrž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ia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pobytovú kartu (=keď 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im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kuriér doručí kartu po udelení prechodného pobytu) – výskumní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ci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ajú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povinnosť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dokladovať na CP, že m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ajú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zdravotné poistene na území SR 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(napr. kó</w:t>
      </w:r>
      <w:r w:rsidRPr="007A5938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pia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oboch </w:t>
      </w:r>
      <w:r w:rsidRPr="007A5938">
        <w:rPr>
          <w:rFonts w:ascii="Segoe UI" w:eastAsia="Times New Roman" w:hAnsi="Segoe UI" w:cs="Segoe UI"/>
          <w:color w:val="005A95"/>
          <w:sz w:val="21"/>
          <w:szCs w:val="21"/>
          <w:lang w:eastAsia="sk-SK"/>
        </w:rPr>
        <w:t>str</w:t>
      </w:r>
      <w:r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án kartičky zdravotného poistenia)</w:t>
      </w:r>
      <w:r w:rsidR="005E0CB2" w:rsidRP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a 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dokladovať na CP, že netrp</w:t>
      </w:r>
      <w:r w:rsidR="005E0CB2"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ia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infekčným ochorením ohrozujúcim verejné zdravie</w:t>
      </w:r>
    </w:p>
    <w:p w14:paraId="68E2C9DB" w14:textId="4E7B0148" w:rsidR="000477C5" w:rsidRPr="000477C5" w:rsidRDefault="005E0CB2" w:rsidP="00AC5B3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Poznámka: </w:t>
      </w:r>
      <w:r w:rsidR="000477C5"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oba dokumenty stačí poslať poštou na príslušné oddelenie CP</w:t>
      </w:r>
    </w:p>
    <w:p w14:paraId="02F43A6F" w14:textId="77777777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DOKLAD O ZDRAVOTNOM STAVE</w:t>
      </w:r>
    </w:p>
    <w:p w14:paraId="6E72792E" w14:textId="77777777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Lekársky posudok potvrdzujúci, že cudzinec netrpí chorobou ohrozujúcou verejné zdravie sa predkladá najneskôr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 30 dní 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od prevzatia dokladu o pobyte. Lehotu na predloženie lekárskeho posudku môže polícia na žiadosť cudzinca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predĺžiť o 60 dní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. Lekársky posudok 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nesmie byť starší ako 30 dní. Nepredkladá ho cudzinec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s prechodným pobytom na účel plnenia služobných povinností civilnými zložkami ozbrojených síl, cudzinec s povolením na prechodný pobyt ako osoba s priznaným postavením Slováka žijúceho v zahraničí, cudzinec s povolením na prechodný pobyt z dôvodu priznaného postavenia osoby s dlhodobým pobytom v inom členskom štáte, cudzinec, ktorý má udelený pobyt v inom členskom štáte, alebo pri zmene druhu alebo účelu pobytu. Tento doklad</w:t>
      </w: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 môže byť vydaný len niektorým z nasledujúcich zdravotníckych zariadení:</w:t>
      </w:r>
    </w:p>
    <w:p w14:paraId="389FD725" w14:textId="77777777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Bratislavský samosprávny kraj</w:t>
      </w:r>
    </w:p>
    <w:p w14:paraId="670D738A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Poliklinika cudzokrajných chorôb, ZAMA s.r.o., Americké námestie 3, Bratislava, Tel: </w:t>
      </w:r>
      <w:hyperlink r:id="rId8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+421 2 52925688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 Fax: </w:t>
      </w:r>
      <w:hyperlink r:id="rId9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+421 2 5296273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0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info@cudzokrajne.sk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</w:p>
    <w:p w14:paraId="0A1671D1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Inštitút očkovania a cestovnej medicíny s.r.o., Teslova 33, Bratislava, Tel: </w:t>
      </w:r>
      <w:hyperlink r:id="rId11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+421 2 44635473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 Mobil: </w:t>
      </w:r>
      <w:hyperlink r:id="rId12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+421 915 889054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3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bakos@inocem.sk</w:t>
        </w:r>
      </w:hyperlink>
    </w:p>
    <w:p w14:paraId="1A191BFF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Medicínske zariadenie Mlynská Dolina s.r.o., Staré Grunty 56, 841 04 Bratislava, Tel: </w:t>
      </w:r>
      <w:hyperlink r:id="rId14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+421 2 32313025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5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+421 911392220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6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recepcia@klinikamd.sk</w:t>
        </w:r>
      </w:hyperlink>
    </w:p>
    <w:p w14:paraId="5053BA89" w14:textId="77777777" w:rsidR="000477C5" w:rsidRPr="000477C5" w:rsidRDefault="000477C5" w:rsidP="00AC5B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Travel Health Clinic s.r.o., Tehelná 26, 831 03 Bratislava, Tel: </w:t>
      </w:r>
      <w:hyperlink r:id="rId17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+421 905742898</w:t>
        </w:r>
      </w:hyperlink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 </w:t>
      </w:r>
      <w:hyperlink r:id="rId18" w:tgtFrame="_blank" w:history="1">
        <w:r w:rsidRPr="000477C5">
          <w:rPr>
            <w:rFonts w:ascii="Segoe UI" w:eastAsia="Times New Roman" w:hAnsi="Segoe UI" w:cs="Segoe UI"/>
            <w:color w:val="005A95"/>
            <w:sz w:val="21"/>
            <w:szCs w:val="21"/>
            <w:u w:val="single"/>
            <w:lang w:eastAsia="sk-SK"/>
          </w:rPr>
          <w:t>info@thclinic.sk</w:t>
        </w:r>
      </w:hyperlink>
    </w:p>
    <w:p w14:paraId="4C391662" w14:textId="5E9DCFFF" w:rsidR="000477C5" w:rsidRPr="007A5938" w:rsidRDefault="000477C5" w:rsidP="00AC5B3A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Info</w:t>
      </w:r>
      <w:r w:rsid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rmácie</w:t>
      </w: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k zdravotnému a Sociálnemu poisteniu</w:t>
      </w:r>
    </w:p>
    <w:p w14:paraId="7508AEC0" w14:textId="3A2A9F98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Keďže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budú výskumníci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riadnym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zamestnanc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ami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u zamestnávateľa so sídlom v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 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SR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a predpokladáme, že budú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mať vyššiu mesačnú mzdu než je t.č. minimálna mzda v SR, tak automaticky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budú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spadať do systému verejného zdravotného poistenia.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Za výskumníkov b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ude potrebné odvádzať odvody do Sociálnej a zdravotnej poisťovne. </w:t>
      </w:r>
    </w:p>
    <w:p w14:paraId="6924F91A" w14:textId="4BAF5BA1" w:rsidR="000477C5" w:rsidRPr="000477C5" w:rsidRDefault="007A5938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7A593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P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ostup prihlasovania do zdravotnej a </w:t>
      </w:r>
      <w:r w:rsidR="00AC5B3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s</w:t>
      </w:r>
      <w:r w:rsidR="000477C5" w:rsidRPr="000477C5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ociálnej poisťovne </w:t>
      </w:r>
    </w:p>
    <w:p w14:paraId="4A75564D" w14:textId="252713B9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Je potrebné, aby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výskumníci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osobne i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šli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do niektorej zo zdravotných poisťovní podať prihlášku na zdravotn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é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poistenie sa (potrebuj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pas a kópiu pracovnej zmluvy).</w:t>
      </w:r>
    </w:p>
    <w:p w14:paraId="127CAB7B" w14:textId="215B1086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Následne</w:t>
      </w:r>
      <w:r w:rsidR="00AC5B3A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,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keď je prihláška preverená a posúdená (cca 3 dni), je pridelené bezvýznamové identifikačné číslo – do doby kým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nebude udelené kvázi SK rodné číslo = prechodný pobyt (kartička z Cudzineckej polície). K jej BIČ bude zamestnávateľ odvádzať zdravotné odvody a keď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bude udelený PP (slovenská pobytová kartička), tak potom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kvázi SK rodné číslo treba nahlásiť do príslušnej zdravotnej poisťovne, aby to spárovali.</w:t>
      </w:r>
    </w:p>
    <w:p w14:paraId="53CB498D" w14:textId="25E4620B" w:rsidR="000477C5" w:rsidRPr="000477C5" w:rsidRDefault="000477C5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lastRenderedPageBreak/>
        <w:t xml:space="preserve">Podobne to funguje aj v Sociálnej poisťovni – tam netreba, aby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oni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chodil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osobne, tam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ich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prihlási zamestnávateľ – pridelia 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im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dočasné identifikačné číslo, kým nebud</w:t>
      </w:r>
      <w:r w:rsidR="007A5938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>ú</w:t>
      </w:r>
      <w:r w:rsidRPr="000477C5"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  <w:t xml:space="preserve"> mať SK rodné číslo (pobytovú kartu).</w:t>
      </w:r>
    </w:p>
    <w:p w14:paraId="23122ECD" w14:textId="77777777" w:rsidR="002101AB" w:rsidRDefault="002101AB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sk-SK"/>
        </w:rPr>
      </w:pPr>
    </w:p>
    <w:p w14:paraId="1D5AF5FD" w14:textId="685F176A" w:rsidR="00AC5B3A" w:rsidRPr="00AC5B3A" w:rsidRDefault="00AC5B3A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</w:pPr>
      <w:r w:rsidRPr="00AC5B3A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>DOKUMENTY POTREBNÉ K ŽIADOSTI O PRECHODNÝ POBYT</w:t>
      </w:r>
      <w:r w:rsidR="0054762F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sk-SK"/>
        </w:rPr>
        <w:t xml:space="preserve"> (ukrajinskí výskumníci)</w:t>
      </w:r>
    </w:p>
    <w:p w14:paraId="7C25C4A9" w14:textId="2991CD43" w:rsidR="0054762F" w:rsidRPr="0054762F" w:rsidRDefault="00AC5B3A" w:rsidP="00AC5B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Žiadosť o prechodný pobyt za účelom výskum</w:t>
      </w:r>
      <w:r w:rsidR="0054762F"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u a</w:t>
      </w: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 xml:space="preserve"> vývoj</w:t>
      </w:r>
      <w:r w:rsidR="0054762F"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a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="0054762F" w:rsidRPr="0054762F">
        <w:rPr>
          <w:rFonts w:ascii="Segoe UI" w:hAnsi="Segoe UI" w:cs="Segoe UI"/>
          <w:color w:val="000000"/>
          <w:sz w:val="21"/>
          <w:szCs w:val="21"/>
        </w:rPr>
        <w:t xml:space="preserve">– </w:t>
      </w:r>
      <w:r w:rsidR="0054762F">
        <w:rPr>
          <w:rFonts w:ascii="Segoe UI" w:hAnsi="Segoe UI" w:cs="Segoe UI"/>
          <w:color w:val="000000"/>
          <w:sz w:val="21"/>
          <w:szCs w:val="21"/>
        </w:rPr>
        <w:t xml:space="preserve">vyplnená </w:t>
      </w:r>
      <w:r w:rsidR="0054762F" w:rsidRPr="0054762F">
        <w:rPr>
          <w:rFonts w:ascii="Segoe UI" w:hAnsi="Segoe UI" w:cs="Segoe UI"/>
          <w:color w:val="000000"/>
          <w:sz w:val="21"/>
          <w:szCs w:val="21"/>
        </w:rPr>
        <w:t>v slovenskom jazyku</w:t>
      </w:r>
    </w:p>
    <w:p w14:paraId="744476D5" w14:textId="6EA4821D" w:rsidR="00AC5B3A" w:rsidRPr="002101AB" w:rsidRDefault="0054762F" w:rsidP="002101AB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  <w:highlight w:val="yellow"/>
        </w:rPr>
      </w:pP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 xml:space="preserve">Biometrický pas </w:t>
      </w:r>
    </w:p>
    <w:p w14:paraId="033B160E" w14:textId="756B9543" w:rsidR="00AC5B3A" w:rsidRDefault="0054762F" w:rsidP="00AC5B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2 ks farebných fotografií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="00AC5B3A" w:rsidRPr="0054762F">
        <w:rPr>
          <w:rFonts w:ascii="Segoe UI" w:hAnsi="Segoe UI" w:cs="Segoe UI"/>
          <w:color w:val="000000"/>
          <w:sz w:val="21"/>
          <w:szCs w:val="21"/>
        </w:rPr>
        <w:t>(3 x 3,5 cm)</w:t>
      </w:r>
    </w:p>
    <w:p w14:paraId="0CC9D761" w14:textId="17229E90" w:rsidR="00AC5B3A" w:rsidRDefault="0054762F" w:rsidP="00AC5B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Dohoda o hosťovaní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– </w:t>
      </w:r>
      <w:r w:rsidRPr="0054762F">
        <w:rPr>
          <w:rFonts w:ascii="Segoe UI" w:hAnsi="Segoe UI" w:cs="Segoe UI"/>
          <w:color w:val="000000"/>
          <w:sz w:val="21"/>
          <w:szCs w:val="21"/>
        </w:rPr>
        <w:t>v slovenskom jazyku alebo bilinguálne, musí byť s aktuálnym dátumom (nie staršia ako 90 dní v čase podania žiadosti)</w:t>
      </w:r>
      <w:r>
        <w:rPr>
          <w:rFonts w:ascii="Segoe UI" w:hAnsi="Segoe UI" w:cs="Segoe UI"/>
          <w:color w:val="000000"/>
          <w:sz w:val="21"/>
          <w:szCs w:val="21"/>
        </w:rPr>
        <w:t xml:space="preserve"> + pečiatka hosťujúcej organizácie</w:t>
      </w:r>
      <w:r w:rsidRPr="0054762F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6B0B4C83" w14:textId="0120E2B2" w:rsidR="0054762F" w:rsidRPr="0054762F" w:rsidRDefault="0054762F" w:rsidP="005476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color w:val="000000"/>
          <w:sz w:val="21"/>
          <w:szCs w:val="21"/>
        </w:rPr>
      </w:pPr>
      <w:r w:rsidRPr="002101AB">
        <w:rPr>
          <w:rFonts w:ascii="Segoe UI" w:hAnsi="Segoe UI" w:cs="Segoe UI"/>
          <w:b/>
          <w:bCs/>
          <w:color w:val="000000"/>
          <w:sz w:val="21"/>
          <w:szCs w:val="21"/>
          <w:highlight w:val="yellow"/>
        </w:rPr>
        <w:t>Výpis z registra trestov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-</w:t>
      </w:r>
      <w:r w:rsidRPr="0054762F">
        <w:rPr>
          <w:rFonts w:ascii="Segoe UI" w:hAnsi="Segoe UI" w:cs="Segoe UI"/>
          <w:color w:val="000000"/>
          <w:sz w:val="21"/>
          <w:szCs w:val="21"/>
        </w:rPr>
        <w:t xml:space="preserve"> p</w:t>
      </w:r>
      <w:r w:rsidRPr="0054762F">
        <w:rPr>
          <w:rFonts w:ascii="Segoe UI" w:hAnsi="Segoe UI" w:cs="Segoe UI"/>
          <w:color w:val="000000"/>
          <w:sz w:val="21"/>
          <w:szCs w:val="21"/>
        </w:rPr>
        <w:t>re účel výskum a vývoj sa na CP predkladá výpis z Registra trestov z krajiny, kde sa výskumník zdržiaval (mal pobyt) najdlhšie počas uplynulých 10 rokov.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  <w:u w:val="single"/>
        </w:rPr>
        <w:t>Dôležité: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 xml:space="preserve"> počas trvania krízovej situácie je ukrajinským výskumníkom (utečencom)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 xml:space="preserve">akceptovaný 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 xml:space="preserve">elektronický výpis z registra trestov bez pečiatok 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 xml:space="preserve">a oprávnení 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>ukrajinských orgánov alebo čestné vyhlásenie o bezúhonnosti (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je možné získať n</w:t>
      </w:r>
      <w:r w:rsidRPr="0054762F">
        <w:rPr>
          <w:rFonts w:ascii="Segoe UI" w:hAnsi="Segoe UI" w:cs="Segoe UI"/>
          <w:b/>
          <w:bCs/>
          <w:color w:val="000000"/>
          <w:sz w:val="21"/>
          <w:szCs w:val="21"/>
        </w:rPr>
        <w:t>a ukrajinskom veľvyslanectve v Bratislave).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7E65AA24" w14:textId="77777777" w:rsidR="00AC5B3A" w:rsidRDefault="00AC5B3A" w:rsidP="00AC5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1"/>
          <w:szCs w:val="21"/>
          <w:u w:val="single"/>
          <w:lang w:eastAsia="sk-SK"/>
        </w:rPr>
      </w:pPr>
    </w:p>
    <w:p w14:paraId="701B9354" w14:textId="77777777" w:rsidR="00186298" w:rsidRDefault="00186298" w:rsidP="00AC5B3A">
      <w:pPr>
        <w:jc w:val="both"/>
      </w:pPr>
    </w:p>
    <w:sectPr w:rsidR="0018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61"/>
    <w:multiLevelType w:val="multilevel"/>
    <w:tmpl w:val="6424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550CBB"/>
    <w:multiLevelType w:val="multilevel"/>
    <w:tmpl w:val="4386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5660D"/>
    <w:multiLevelType w:val="hybridMultilevel"/>
    <w:tmpl w:val="D284BDCA"/>
    <w:lvl w:ilvl="0" w:tplc="3C701A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405A7"/>
    <w:multiLevelType w:val="multilevel"/>
    <w:tmpl w:val="0582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2F"/>
    <w:rsid w:val="000477C5"/>
    <w:rsid w:val="00186298"/>
    <w:rsid w:val="002101AB"/>
    <w:rsid w:val="0054762F"/>
    <w:rsid w:val="005E0CB2"/>
    <w:rsid w:val="007A5938"/>
    <w:rsid w:val="0085078A"/>
    <w:rsid w:val="00AC5B3A"/>
    <w:rsid w:val="00E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715F"/>
  <w15:chartTrackingRefBased/>
  <w15:docId w15:val="{41B94BAD-1D5D-4B53-8002-FAB21FB3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rsid w:val="000477C5"/>
  </w:style>
  <w:style w:type="character" w:styleId="Hypertextovprepojenie">
    <w:name w:val="Hyperlink"/>
    <w:basedOn w:val="Predvolenpsmoodseku"/>
    <w:uiPriority w:val="99"/>
    <w:semiHidden/>
    <w:unhideWhenUsed/>
    <w:rsid w:val="000477C5"/>
    <w:rPr>
      <w:color w:val="0000FF"/>
      <w:u w:val="single"/>
    </w:rPr>
  </w:style>
  <w:style w:type="paragraph" w:customStyle="1" w:styleId="m5025177623763734095msolistparagraph">
    <w:name w:val="m_5025177623763734095msolistparagraph"/>
    <w:basedOn w:val="Normlny"/>
    <w:rsid w:val="0004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21%202%2052925688" TargetMode="External"/><Relationship Id="rId13" Type="http://schemas.openxmlformats.org/officeDocument/2006/relationships/hyperlink" Target="mailto:bakos@inocem.sk" TargetMode="External"/><Relationship Id="rId18" Type="http://schemas.openxmlformats.org/officeDocument/2006/relationships/hyperlink" Target="mailto:info@thclinic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v.sk/?objednavaci-system-na-ocp" TargetMode="External"/><Relationship Id="rId12" Type="http://schemas.openxmlformats.org/officeDocument/2006/relationships/hyperlink" Target="callto:+421%20915%20889054" TargetMode="External"/><Relationship Id="rId17" Type="http://schemas.openxmlformats.org/officeDocument/2006/relationships/hyperlink" Target="callto:+421%20905742898" TargetMode="External"/><Relationship Id="rId2" Type="http://schemas.openxmlformats.org/officeDocument/2006/relationships/styles" Target="styles.xml"/><Relationship Id="rId16" Type="http://schemas.openxmlformats.org/officeDocument/2006/relationships/hyperlink" Target="mailto:recepcia@klinikamd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buxus/generate_page.php?page_id=363584" TargetMode="External"/><Relationship Id="rId11" Type="http://schemas.openxmlformats.org/officeDocument/2006/relationships/hyperlink" Target="callto:+421%202%2044635473" TargetMode="External"/><Relationship Id="rId5" Type="http://schemas.openxmlformats.org/officeDocument/2006/relationships/hyperlink" Target="https://www.minv.sk/?hlasenie-pobytu-1" TargetMode="External"/><Relationship Id="rId15" Type="http://schemas.openxmlformats.org/officeDocument/2006/relationships/hyperlink" Target="callto:+421%20911392220" TargetMode="External"/><Relationship Id="rId10" Type="http://schemas.openxmlformats.org/officeDocument/2006/relationships/hyperlink" Target="mailto:info@cudzokrajne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+421%202%205296273" TargetMode="External"/><Relationship Id="rId14" Type="http://schemas.openxmlformats.org/officeDocument/2006/relationships/hyperlink" Target="callto:+421%202%20323130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Muranova</dc:creator>
  <cp:keywords/>
  <dc:description/>
  <cp:lastModifiedBy>Muranova</cp:lastModifiedBy>
  <cp:revision>4</cp:revision>
  <dcterms:created xsi:type="dcterms:W3CDTF">2023-05-16T19:05:00Z</dcterms:created>
  <dcterms:modified xsi:type="dcterms:W3CDTF">2023-05-16T19:54:00Z</dcterms:modified>
</cp:coreProperties>
</file>